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64F1" w14:textId="7918F8E5" w:rsidR="001111AC" w:rsidRPr="001111AC" w:rsidRDefault="001111AC" w:rsidP="001111AC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1111AC">
        <w:rPr>
          <w:b/>
          <w:bCs/>
        </w:rPr>
        <w:t xml:space="preserve"> September 29</w:t>
      </w:r>
      <w:r w:rsidR="00D24E9E" w:rsidRPr="001111AC">
        <w:rPr>
          <w:b/>
          <w:bCs/>
        </w:rPr>
        <w:t>, 2023,</w:t>
      </w:r>
      <w:r w:rsidRPr="001111AC">
        <w:rPr>
          <w:b/>
          <w:bCs/>
        </w:rPr>
        <w:t xml:space="preserve"> Presentation: </w:t>
      </w:r>
      <w:r w:rsidR="00FF6B5E">
        <w:rPr>
          <w:b/>
          <w:bCs/>
        </w:rPr>
        <w:t>“</w:t>
      </w:r>
      <w:r w:rsidRPr="001111AC">
        <w:rPr>
          <w:b/>
          <w:bCs/>
        </w:rPr>
        <w:t>The Current State of Patient-Reported Outcome Measures for Eye and Vision Conditions</w:t>
      </w:r>
      <w:r w:rsidR="00FF6B5E">
        <w:rPr>
          <w:b/>
          <w:bCs/>
        </w:rPr>
        <w:t>”</w:t>
      </w:r>
      <w:r>
        <w:rPr>
          <w:b/>
          <w:bCs/>
        </w:rPr>
        <w:t xml:space="preserve"> (bolded entries not mentioned but relevant)</w:t>
      </w:r>
    </w:p>
    <w:p w14:paraId="30FA2144" w14:textId="77777777" w:rsidR="00D37467" w:rsidRPr="001111AC" w:rsidRDefault="00D37467" w:rsidP="00D3746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  <w:lang w:val="es-ES_tradnl"/>
        </w:rPr>
        <w:t xml:space="preserve">Calderón, J. L., Morales, L. S., Liu, H., &amp; Hays, R. D.  </w:t>
      </w:r>
      <w:r w:rsidRPr="001111AC">
        <w:rPr>
          <w:rFonts w:cstheme="minorHAnsi"/>
          <w:b/>
          <w:bCs/>
          <w:sz w:val="20"/>
          <w:szCs w:val="20"/>
        </w:rPr>
        <w:t xml:space="preserve">(2006). Variation in the readability of items within surveys.  </w:t>
      </w:r>
      <w:r w:rsidRPr="001111AC">
        <w:rPr>
          <w:rFonts w:cstheme="minorHAnsi"/>
          <w:b/>
          <w:bCs/>
          <w:sz w:val="20"/>
          <w:szCs w:val="20"/>
          <w:u w:val="single"/>
        </w:rPr>
        <w:t>American</w:t>
      </w:r>
      <w:r w:rsidRPr="001111AC">
        <w:rPr>
          <w:rFonts w:cstheme="minorHAnsi"/>
          <w:b/>
          <w:bCs/>
          <w:sz w:val="20"/>
          <w:szCs w:val="20"/>
        </w:rPr>
        <w:t xml:space="preserve"> </w:t>
      </w:r>
      <w:r w:rsidRPr="001111AC">
        <w:rPr>
          <w:rFonts w:cstheme="minorHAnsi"/>
          <w:b/>
          <w:bCs/>
          <w:sz w:val="20"/>
          <w:szCs w:val="20"/>
          <w:u w:val="single"/>
        </w:rPr>
        <w:t>Journal of Medical Quality</w:t>
      </w:r>
      <w:r w:rsidRPr="001111AC">
        <w:rPr>
          <w:rFonts w:cstheme="minorHAnsi"/>
          <w:b/>
          <w:bCs/>
          <w:sz w:val="20"/>
          <w:szCs w:val="20"/>
        </w:rPr>
        <w:t xml:space="preserve">, 21, 49-56. </w:t>
      </w:r>
    </w:p>
    <w:p w14:paraId="7CE03364" w14:textId="77777777" w:rsidR="00D37467" w:rsidRPr="001111AC" w:rsidRDefault="00D37467" w:rsidP="00D37467">
      <w:pPr>
        <w:numPr>
          <w:ilvl w:val="0"/>
          <w:numId w:val="1"/>
        </w:numPr>
        <w:tabs>
          <w:tab w:val="num" w:pos="900"/>
        </w:tabs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color w:val="000000"/>
          <w:sz w:val="20"/>
          <w:szCs w:val="20"/>
        </w:rPr>
        <w:t xml:space="preserve">Cui, Q. N., Hays, R. D., Tarver, M. E., Spaeth, G. L., Paz, S. H., </w:t>
      </w:r>
      <w:proofErr w:type="spellStart"/>
      <w:r w:rsidRPr="001111AC">
        <w:rPr>
          <w:rFonts w:cstheme="minorHAnsi"/>
          <w:b/>
          <w:bCs/>
          <w:color w:val="000000"/>
          <w:sz w:val="20"/>
          <w:szCs w:val="20"/>
        </w:rPr>
        <w:t>Weidmer</w:t>
      </w:r>
      <w:proofErr w:type="spellEnd"/>
      <w:r w:rsidRPr="001111AC">
        <w:rPr>
          <w:rFonts w:cstheme="minorHAnsi"/>
          <w:b/>
          <w:bCs/>
          <w:color w:val="000000"/>
          <w:sz w:val="20"/>
          <w:szCs w:val="20"/>
        </w:rPr>
        <w:t xml:space="preserve">, B., Fellman, R.L., Vold, S. D., Eydelman, M., &amp; Singh, K.  (2021).  Vision-targeted health-related quality of life survey for evaluating minimally invasive glaucoma surgery.  </w:t>
      </w:r>
      <w:r w:rsidRPr="001111AC">
        <w:rPr>
          <w:rFonts w:cstheme="minorHAnsi"/>
          <w:b/>
          <w:bCs/>
          <w:color w:val="000000"/>
          <w:sz w:val="20"/>
          <w:szCs w:val="20"/>
          <w:u w:val="single"/>
        </w:rPr>
        <w:t>American Journal of Ophthalmology</w:t>
      </w:r>
      <w:r w:rsidRPr="001111AC">
        <w:rPr>
          <w:rFonts w:cstheme="minorHAnsi"/>
          <w:b/>
          <w:bCs/>
          <w:color w:val="000000"/>
          <w:sz w:val="20"/>
          <w:szCs w:val="20"/>
        </w:rPr>
        <w:t xml:space="preserve">, 229, 145-151. </w:t>
      </w:r>
    </w:p>
    <w:p w14:paraId="2C4539DD" w14:textId="10BEC69B" w:rsidR="00BB4467" w:rsidRPr="00BB4467" w:rsidRDefault="00BB4467" w:rsidP="00AD68E7">
      <w:pPr>
        <w:numPr>
          <w:ilvl w:val="0"/>
          <w:numId w:val="1"/>
        </w:numPr>
        <w:tabs>
          <w:tab w:val="num" w:pos="900"/>
        </w:tabs>
        <w:spacing w:after="120" w:line="240" w:lineRule="auto"/>
        <w:rPr>
          <w:rFonts w:cstheme="minorHAnsi"/>
          <w:sz w:val="20"/>
          <w:szCs w:val="20"/>
        </w:rPr>
      </w:pPr>
      <w:r w:rsidRPr="00BB4467">
        <w:rPr>
          <w:sz w:val="20"/>
          <w:szCs w:val="20"/>
        </w:rPr>
        <w:t xml:space="preserve">Edelen, M.O., Rodriguez, A., Herman, P., &amp; Hays, R. D. (2021). </w:t>
      </w:r>
      <w:proofErr w:type="spellStart"/>
      <w:r w:rsidRPr="00BB4467">
        <w:rPr>
          <w:sz w:val="20"/>
          <w:szCs w:val="20"/>
        </w:rPr>
        <w:t>Crosswalking</w:t>
      </w:r>
      <w:proofErr w:type="spellEnd"/>
      <w:r w:rsidRPr="00BB4467">
        <w:rPr>
          <w:sz w:val="20"/>
          <w:szCs w:val="20"/>
        </w:rPr>
        <w:t xml:space="preserve"> the Patient-Reported Outcomes Measurement Information System physical function, pain interference, and pain intensity scores to the Roland-Morris Disability Questionnaire and the Oswestry Disability Index.  </w:t>
      </w:r>
      <w:r w:rsidRPr="00BB4467">
        <w:rPr>
          <w:sz w:val="20"/>
          <w:szCs w:val="20"/>
          <w:u w:val="single"/>
        </w:rPr>
        <w:t xml:space="preserve">Arch Phys Med </w:t>
      </w:r>
      <w:proofErr w:type="spellStart"/>
      <w:r w:rsidRPr="00BB4467">
        <w:rPr>
          <w:sz w:val="20"/>
          <w:szCs w:val="20"/>
          <w:u w:val="single"/>
        </w:rPr>
        <w:t>Rehabil</w:t>
      </w:r>
      <w:proofErr w:type="spellEnd"/>
      <w:r w:rsidRPr="00BB4467">
        <w:rPr>
          <w:sz w:val="20"/>
          <w:szCs w:val="20"/>
        </w:rPr>
        <w:t xml:space="preserve">, </w:t>
      </w:r>
      <w:r w:rsidRPr="00BB4467">
        <w:rPr>
          <w:sz w:val="20"/>
          <w:szCs w:val="20"/>
          <w:u w:val="single"/>
        </w:rPr>
        <w:t>102</w:t>
      </w:r>
      <w:r w:rsidRPr="00BB4467">
        <w:rPr>
          <w:sz w:val="20"/>
          <w:szCs w:val="20"/>
        </w:rPr>
        <w:t>(7), 1317-1323</w:t>
      </w:r>
    </w:p>
    <w:p w14:paraId="40208A80" w14:textId="77777777" w:rsidR="00D37467" w:rsidRPr="001111AC" w:rsidRDefault="00D37467" w:rsidP="00D3746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t xml:space="preserve">Eydelman, M., </w:t>
      </w:r>
      <w:proofErr w:type="spellStart"/>
      <w:r w:rsidRPr="001111AC">
        <w:rPr>
          <w:rFonts w:cstheme="minorHAnsi"/>
          <w:b/>
          <w:bCs/>
          <w:sz w:val="20"/>
          <w:szCs w:val="20"/>
        </w:rPr>
        <w:t>Hilmantel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, G., Tarver, M. E., Hofmeister, E. M., May, J., Hammel, K., Hays, R. D., &amp; Ferris, F.  (2017).  Symptoms and satisfaction in the LASIK Quality of Life Collaboration Project.  </w:t>
      </w:r>
      <w:r w:rsidRPr="001111AC">
        <w:rPr>
          <w:rFonts w:cstheme="minorHAnsi"/>
          <w:b/>
          <w:bCs/>
          <w:sz w:val="20"/>
          <w:szCs w:val="20"/>
          <w:u w:val="single"/>
        </w:rPr>
        <w:t>JAMA Ophthalmology</w:t>
      </w:r>
      <w:r w:rsidRPr="001111AC">
        <w:rPr>
          <w:rFonts w:cstheme="minorHAnsi"/>
          <w:b/>
          <w:bCs/>
          <w:sz w:val="20"/>
          <w:szCs w:val="20"/>
        </w:rPr>
        <w:t>, 135 (1), 13-22.</w:t>
      </w:r>
    </w:p>
    <w:p w14:paraId="45123995" w14:textId="00CC05CE" w:rsidR="00802B4B" w:rsidRPr="002C3356" w:rsidRDefault="00802B4B" w:rsidP="00802B4B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</w:rPr>
        <w:t>Fan X</w:t>
      </w:r>
      <w:r w:rsidRPr="002C3356">
        <w:rPr>
          <w:rFonts w:cstheme="minorHAnsi"/>
          <w:b/>
          <w:bCs/>
          <w:sz w:val="20"/>
          <w:szCs w:val="20"/>
        </w:rPr>
        <w:t xml:space="preserve">. </w:t>
      </w:r>
      <w:r w:rsidRPr="002C3356">
        <w:rPr>
          <w:rFonts w:cstheme="minorHAnsi"/>
          <w:sz w:val="20"/>
          <w:szCs w:val="20"/>
        </w:rPr>
        <w:t xml:space="preserve">Item response theory and classical test theory: </w:t>
      </w:r>
      <w:r w:rsidR="004E2E40">
        <w:rPr>
          <w:rFonts w:cstheme="minorHAnsi"/>
          <w:sz w:val="20"/>
          <w:szCs w:val="20"/>
        </w:rPr>
        <w:t xml:space="preserve">(1998). </w:t>
      </w:r>
      <w:r w:rsidRPr="002C3356">
        <w:rPr>
          <w:rFonts w:cstheme="minorHAnsi"/>
          <w:sz w:val="20"/>
          <w:szCs w:val="20"/>
        </w:rPr>
        <w:t xml:space="preserve">An empirical comparison of their item/person statistics. </w:t>
      </w:r>
      <w:r w:rsidRPr="004E2E40">
        <w:rPr>
          <w:rFonts w:cstheme="minorHAnsi"/>
          <w:sz w:val="20"/>
          <w:szCs w:val="20"/>
          <w:u w:val="single"/>
        </w:rPr>
        <w:t>Educ Psychol Meas</w:t>
      </w:r>
      <w:r w:rsidR="004E2E40">
        <w:rPr>
          <w:rFonts w:cstheme="minorHAnsi"/>
          <w:sz w:val="20"/>
          <w:szCs w:val="20"/>
        </w:rPr>
        <w:t xml:space="preserve">, </w:t>
      </w:r>
      <w:r w:rsidRPr="002C3356">
        <w:rPr>
          <w:rFonts w:cstheme="minorHAnsi"/>
          <w:sz w:val="20"/>
          <w:szCs w:val="20"/>
        </w:rPr>
        <w:t>58</w:t>
      </w:r>
      <w:r w:rsidR="004E2E40">
        <w:rPr>
          <w:rFonts w:cstheme="minorHAnsi"/>
          <w:sz w:val="20"/>
          <w:szCs w:val="20"/>
        </w:rPr>
        <w:t xml:space="preserve">, </w:t>
      </w:r>
      <w:r w:rsidRPr="002C3356">
        <w:rPr>
          <w:rFonts w:cstheme="minorHAnsi"/>
          <w:sz w:val="20"/>
          <w:szCs w:val="20"/>
        </w:rPr>
        <w:t>357–381.</w:t>
      </w:r>
    </w:p>
    <w:p w14:paraId="4FC37ECD" w14:textId="77777777" w:rsidR="00D37467" w:rsidRPr="001111AC" w:rsidRDefault="00D37467" w:rsidP="00D3746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proofErr w:type="spellStart"/>
      <w:r w:rsidRPr="001111AC">
        <w:rPr>
          <w:rFonts w:cstheme="minorHAnsi"/>
          <w:b/>
          <w:bCs/>
          <w:sz w:val="20"/>
          <w:szCs w:val="20"/>
        </w:rPr>
        <w:t>Fongwa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, M. N., </w:t>
      </w:r>
      <w:proofErr w:type="spellStart"/>
      <w:r w:rsidRPr="001111AC">
        <w:rPr>
          <w:rFonts w:cstheme="minorHAnsi"/>
          <w:b/>
          <w:bCs/>
          <w:sz w:val="20"/>
          <w:szCs w:val="20"/>
        </w:rPr>
        <w:t>Setodji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, C. M., Paz, S. H., Morales, L. S., Steers, N. W., &amp; Hays, R. D. (2010). Readability and missing data rates in CAHPS 2.0 Medicare survey in African American and White Medicare respondents.  </w:t>
      </w:r>
      <w:r w:rsidRPr="001111AC">
        <w:rPr>
          <w:rFonts w:cstheme="minorHAnsi"/>
          <w:b/>
          <w:bCs/>
          <w:sz w:val="20"/>
          <w:szCs w:val="20"/>
          <w:u w:val="single"/>
        </w:rPr>
        <w:t>Health Outcomes Research in Medicine</w:t>
      </w:r>
      <w:r w:rsidRPr="001111AC">
        <w:rPr>
          <w:rFonts w:cstheme="minorHAnsi"/>
          <w:b/>
          <w:bCs/>
          <w:sz w:val="20"/>
          <w:szCs w:val="20"/>
        </w:rPr>
        <w:t>, 1 (1), e39-e49.</w:t>
      </w:r>
    </w:p>
    <w:p w14:paraId="42D0C3EB" w14:textId="5B48E605" w:rsidR="00787A34" w:rsidRPr="00787A34" w:rsidRDefault="00787A34" w:rsidP="00D37467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787A34">
        <w:rPr>
          <w:sz w:val="20"/>
          <w:szCs w:val="20"/>
          <w:lang w:val="de-DE"/>
        </w:rPr>
        <w:t xml:space="preserve">Fung, C. H., &amp; Hays, R. D.  </w:t>
      </w:r>
      <w:r w:rsidRPr="00787A34">
        <w:rPr>
          <w:sz w:val="20"/>
          <w:szCs w:val="20"/>
        </w:rPr>
        <w:t xml:space="preserve">(2008).  Prospects and challenges in using patient-reported outcomes in clinical practice.  </w:t>
      </w:r>
      <w:r w:rsidRPr="00787A34">
        <w:rPr>
          <w:sz w:val="20"/>
          <w:szCs w:val="20"/>
          <w:u w:val="single"/>
        </w:rPr>
        <w:t>Quality of Life Research</w:t>
      </w:r>
      <w:r w:rsidRPr="00787A34">
        <w:rPr>
          <w:sz w:val="20"/>
          <w:szCs w:val="20"/>
        </w:rPr>
        <w:t>, 17, 1297-302</w:t>
      </w:r>
    </w:p>
    <w:p w14:paraId="6737DB9F" w14:textId="37401EF1" w:rsidR="00802B4B" w:rsidRPr="001111AC" w:rsidRDefault="00802B4B" w:rsidP="00802B4B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t xml:space="preserve">Garamendi E, </w:t>
      </w:r>
      <w:proofErr w:type="spellStart"/>
      <w:r w:rsidRPr="001111AC">
        <w:rPr>
          <w:rFonts w:cstheme="minorHAnsi"/>
          <w:b/>
          <w:bCs/>
          <w:sz w:val="20"/>
          <w:szCs w:val="20"/>
        </w:rPr>
        <w:t>Pesudovs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 K, Stevens MJ, </w:t>
      </w:r>
      <w:r w:rsidR="004E2E40" w:rsidRPr="001111AC">
        <w:rPr>
          <w:rFonts w:cstheme="minorHAnsi"/>
          <w:b/>
          <w:bCs/>
          <w:sz w:val="20"/>
          <w:szCs w:val="20"/>
        </w:rPr>
        <w:t xml:space="preserve">&amp; </w:t>
      </w:r>
      <w:r w:rsidRPr="001111AC">
        <w:rPr>
          <w:rFonts w:cstheme="minorHAnsi"/>
          <w:b/>
          <w:bCs/>
          <w:sz w:val="20"/>
          <w:szCs w:val="20"/>
        </w:rPr>
        <w:t xml:space="preserve">Elliott DB. </w:t>
      </w:r>
      <w:r w:rsidR="004E2E40" w:rsidRPr="001111AC">
        <w:rPr>
          <w:rFonts w:cstheme="minorHAnsi"/>
          <w:b/>
          <w:bCs/>
          <w:sz w:val="20"/>
          <w:szCs w:val="20"/>
        </w:rPr>
        <w:t xml:space="preserve">(2006). </w:t>
      </w:r>
      <w:r w:rsidRPr="001111AC">
        <w:rPr>
          <w:rFonts w:cstheme="minorHAnsi"/>
          <w:b/>
          <w:bCs/>
          <w:sz w:val="20"/>
          <w:szCs w:val="20"/>
        </w:rPr>
        <w:t xml:space="preserve">The Refractive Status and Vision Profile: evaluation of psychometric properties and comparison of Rasch and summated Likert-scaling. </w:t>
      </w:r>
      <w:r w:rsidRPr="001111AC">
        <w:rPr>
          <w:rFonts w:cstheme="minorHAnsi"/>
          <w:b/>
          <w:bCs/>
          <w:sz w:val="20"/>
          <w:szCs w:val="20"/>
          <w:u w:val="single"/>
        </w:rPr>
        <w:t>Vision Res</w:t>
      </w:r>
      <w:r w:rsidR="004E2E40" w:rsidRPr="001111AC">
        <w:rPr>
          <w:rFonts w:cstheme="minorHAnsi"/>
          <w:b/>
          <w:bCs/>
          <w:sz w:val="20"/>
          <w:szCs w:val="20"/>
        </w:rPr>
        <w:t xml:space="preserve">, </w:t>
      </w:r>
      <w:r w:rsidRPr="001111AC">
        <w:rPr>
          <w:rFonts w:cstheme="minorHAnsi"/>
          <w:b/>
          <w:bCs/>
          <w:sz w:val="20"/>
          <w:szCs w:val="20"/>
        </w:rPr>
        <w:t>46(8-9)</w:t>
      </w:r>
      <w:r w:rsidR="004E2E40" w:rsidRPr="001111AC">
        <w:rPr>
          <w:rFonts w:cstheme="minorHAnsi"/>
          <w:b/>
          <w:bCs/>
          <w:sz w:val="20"/>
          <w:szCs w:val="20"/>
        </w:rPr>
        <w:t xml:space="preserve">, </w:t>
      </w:r>
      <w:r w:rsidRPr="001111AC">
        <w:rPr>
          <w:rFonts w:cstheme="minorHAnsi"/>
          <w:b/>
          <w:bCs/>
          <w:sz w:val="20"/>
          <w:szCs w:val="20"/>
        </w:rPr>
        <w:t xml:space="preserve">1375-83. </w:t>
      </w:r>
    </w:p>
    <w:p w14:paraId="6E98C055" w14:textId="518851EA" w:rsidR="005E6FEC" w:rsidRPr="00A359DD" w:rsidRDefault="005E6FEC" w:rsidP="00802B4B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5E6FEC">
        <w:rPr>
          <w:sz w:val="20"/>
          <w:szCs w:val="20"/>
        </w:rPr>
        <w:t xml:space="preserve">Goldstein JE, Jackson ML, Fox SM, </w:t>
      </w:r>
      <w:proofErr w:type="spellStart"/>
      <w:r w:rsidRPr="005E6FEC">
        <w:rPr>
          <w:sz w:val="20"/>
          <w:szCs w:val="20"/>
        </w:rPr>
        <w:t>Deremeik</w:t>
      </w:r>
      <w:proofErr w:type="spellEnd"/>
      <w:r w:rsidRPr="005E6FEC">
        <w:rPr>
          <w:sz w:val="20"/>
          <w:szCs w:val="20"/>
        </w:rPr>
        <w:t xml:space="preserve"> JT, </w:t>
      </w:r>
      <w:proofErr w:type="spellStart"/>
      <w:r w:rsidRPr="005E6FEC">
        <w:rPr>
          <w:sz w:val="20"/>
          <w:szCs w:val="20"/>
        </w:rPr>
        <w:t>Massof</w:t>
      </w:r>
      <w:proofErr w:type="spellEnd"/>
      <w:r w:rsidRPr="005E6FEC">
        <w:rPr>
          <w:sz w:val="20"/>
          <w:szCs w:val="20"/>
        </w:rPr>
        <w:t xml:space="preserve"> RW</w:t>
      </w:r>
      <w:r>
        <w:rPr>
          <w:sz w:val="20"/>
          <w:szCs w:val="20"/>
        </w:rPr>
        <w:t xml:space="preserve">. (2015). </w:t>
      </w:r>
      <w:r w:rsidRPr="005E6FEC">
        <w:rPr>
          <w:sz w:val="20"/>
          <w:szCs w:val="20"/>
        </w:rPr>
        <w:t xml:space="preserve">Low </w:t>
      </w:r>
      <w:r>
        <w:rPr>
          <w:sz w:val="20"/>
          <w:szCs w:val="20"/>
        </w:rPr>
        <w:t>V</w:t>
      </w:r>
      <w:r w:rsidRPr="005E6FEC">
        <w:rPr>
          <w:sz w:val="20"/>
          <w:szCs w:val="20"/>
        </w:rPr>
        <w:t xml:space="preserve">ision Research Network Study Group. Clinically </w:t>
      </w:r>
      <w:r>
        <w:rPr>
          <w:sz w:val="20"/>
          <w:szCs w:val="20"/>
        </w:rPr>
        <w:t>m</w:t>
      </w:r>
      <w:r w:rsidRPr="005E6FEC">
        <w:rPr>
          <w:sz w:val="20"/>
          <w:szCs w:val="20"/>
        </w:rPr>
        <w:t xml:space="preserve">eaningful </w:t>
      </w:r>
      <w:r>
        <w:rPr>
          <w:sz w:val="20"/>
          <w:szCs w:val="20"/>
        </w:rPr>
        <w:t>r</w:t>
      </w:r>
      <w:r w:rsidRPr="005E6FEC">
        <w:rPr>
          <w:sz w:val="20"/>
          <w:szCs w:val="20"/>
        </w:rPr>
        <w:t xml:space="preserve">ehabilitation </w:t>
      </w:r>
      <w:r>
        <w:rPr>
          <w:sz w:val="20"/>
          <w:szCs w:val="20"/>
        </w:rPr>
        <w:t>o</w:t>
      </w:r>
      <w:r w:rsidRPr="005E6FEC">
        <w:rPr>
          <w:sz w:val="20"/>
          <w:szCs w:val="20"/>
        </w:rPr>
        <w:t xml:space="preserve">utcomes of </w:t>
      </w:r>
      <w:r>
        <w:rPr>
          <w:sz w:val="20"/>
          <w:szCs w:val="20"/>
        </w:rPr>
        <w:t>l</w:t>
      </w:r>
      <w:r w:rsidRPr="005E6FEC">
        <w:rPr>
          <w:sz w:val="20"/>
          <w:szCs w:val="20"/>
        </w:rPr>
        <w:t xml:space="preserve">ow </w:t>
      </w:r>
      <w:r>
        <w:rPr>
          <w:sz w:val="20"/>
          <w:szCs w:val="20"/>
        </w:rPr>
        <w:t>v</w:t>
      </w:r>
      <w:r w:rsidRPr="005E6FEC">
        <w:rPr>
          <w:sz w:val="20"/>
          <w:szCs w:val="20"/>
        </w:rPr>
        <w:t xml:space="preserve">ision </w:t>
      </w:r>
      <w:r>
        <w:rPr>
          <w:sz w:val="20"/>
          <w:szCs w:val="20"/>
        </w:rPr>
        <w:t>p</w:t>
      </w:r>
      <w:r w:rsidRPr="005E6FEC">
        <w:rPr>
          <w:sz w:val="20"/>
          <w:szCs w:val="20"/>
        </w:rPr>
        <w:t xml:space="preserve">atients </w:t>
      </w:r>
      <w:r>
        <w:rPr>
          <w:sz w:val="20"/>
          <w:szCs w:val="20"/>
        </w:rPr>
        <w:t>s</w:t>
      </w:r>
      <w:r w:rsidRPr="005E6FEC">
        <w:rPr>
          <w:sz w:val="20"/>
          <w:szCs w:val="20"/>
        </w:rPr>
        <w:t xml:space="preserve">erved by </w:t>
      </w:r>
      <w:r>
        <w:rPr>
          <w:sz w:val="20"/>
          <w:szCs w:val="20"/>
        </w:rPr>
        <w:t>o</w:t>
      </w:r>
      <w:r w:rsidRPr="005E6FEC">
        <w:rPr>
          <w:sz w:val="20"/>
          <w:szCs w:val="20"/>
        </w:rPr>
        <w:t xml:space="preserve">utpatient </w:t>
      </w:r>
      <w:r>
        <w:rPr>
          <w:sz w:val="20"/>
          <w:szCs w:val="20"/>
        </w:rPr>
        <w:t>c</w:t>
      </w:r>
      <w:r w:rsidRPr="005E6FEC">
        <w:rPr>
          <w:sz w:val="20"/>
          <w:szCs w:val="20"/>
        </w:rPr>
        <w:t xml:space="preserve">linical </w:t>
      </w:r>
      <w:r>
        <w:rPr>
          <w:sz w:val="20"/>
          <w:szCs w:val="20"/>
        </w:rPr>
        <w:t>c</w:t>
      </w:r>
      <w:r w:rsidRPr="005E6FEC">
        <w:rPr>
          <w:sz w:val="20"/>
          <w:szCs w:val="20"/>
        </w:rPr>
        <w:t xml:space="preserve">enters. JAMA </w:t>
      </w:r>
      <w:proofErr w:type="spellStart"/>
      <w:r w:rsidRPr="005E6FEC">
        <w:rPr>
          <w:sz w:val="20"/>
          <w:szCs w:val="20"/>
        </w:rPr>
        <w:t>Ophthalmol</w:t>
      </w:r>
      <w:proofErr w:type="spellEnd"/>
      <w:r w:rsidRPr="005E6FEC">
        <w:rPr>
          <w:sz w:val="20"/>
          <w:szCs w:val="20"/>
        </w:rPr>
        <w:t xml:space="preserve">. 133(7):762-9. </w:t>
      </w:r>
    </w:p>
    <w:p w14:paraId="335D6B5F" w14:textId="0B58F527" w:rsidR="00A359DD" w:rsidRPr="005E6FEC" w:rsidRDefault="00A37BF3" w:rsidP="00802B4B">
      <w:pPr>
        <w:numPr>
          <w:ilvl w:val="0"/>
          <w:numId w:val="1"/>
        </w:numPr>
        <w:rPr>
          <w:rFonts w:cstheme="minorHAnsi"/>
          <w:sz w:val="20"/>
          <w:szCs w:val="20"/>
        </w:rPr>
      </w:pPr>
      <w:r>
        <w:t xml:space="preserve">Goldstein JE, Bradley C, Gross AL, Jackson M, Bressler N, </w:t>
      </w:r>
      <w:proofErr w:type="spellStart"/>
      <w:r>
        <w:t>Massof</w:t>
      </w:r>
      <w:proofErr w:type="spellEnd"/>
      <w:r>
        <w:t xml:space="preserve"> RW. (2022). The NEI VFQ-25C: Calibrating items in the National Eye Institute Visual Function Questionnaire-25 to enable comparison of outcome measures. </w:t>
      </w:r>
      <w:proofErr w:type="spellStart"/>
      <w:r>
        <w:t>Transl</w:t>
      </w:r>
      <w:proofErr w:type="spellEnd"/>
      <w:r>
        <w:t xml:space="preserve"> Vis Sci Technol., 11(5), 10.</w:t>
      </w:r>
    </w:p>
    <w:p w14:paraId="64F16270" w14:textId="11B73FEA" w:rsidR="00802B4B" w:rsidRPr="001111AC" w:rsidRDefault="00802B4B" w:rsidP="00802B4B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proofErr w:type="spellStart"/>
      <w:r w:rsidRPr="001111AC">
        <w:rPr>
          <w:rFonts w:cstheme="minorHAnsi"/>
          <w:b/>
          <w:bCs/>
          <w:sz w:val="20"/>
          <w:szCs w:val="20"/>
        </w:rPr>
        <w:t>Gothwal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 VK, Wright TA, Lamoureux EL, </w:t>
      </w:r>
      <w:r w:rsidR="004E2E40" w:rsidRPr="001111AC">
        <w:rPr>
          <w:rFonts w:cstheme="minorHAnsi"/>
          <w:b/>
          <w:bCs/>
          <w:sz w:val="20"/>
          <w:szCs w:val="20"/>
        </w:rPr>
        <w:t xml:space="preserve">&amp; </w:t>
      </w:r>
      <w:proofErr w:type="spellStart"/>
      <w:r w:rsidRPr="001111AC">
        <w:rPr>
          <w:rFonts w:cstheme="minorHAnsi"/>
          <w:b/>
          <w:bCs/>
          <w:sz w:val="20"/>
          <w:szCs w:val="20"/>
        </w:rPr>
        <w:t>Pesudovs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 K. </w:t>
      </w:r>
      <w:r w:rsidR="004E2E40" w:rsidRPr="001111AC">
        <w:rPr>
          <w:rFonts w:cstheme="minorHAnsi"/>
          <w:b/>
          <w:bCs/>
          <w:sz w:val="20"/>
          <w:szCs w:val="20"/>
        </w:rPr>
        <w:t xml:space="preserve">(2010). </w:t>
      </w:r>
      <w:r w:rsidRPr="001111AC">
        <w:rPr>
          <w:rFonts w:cstheme="minorHAnsi"/>
          <w:b/>
          <w:bCs/>
          <w:sz w:val="20"/>
          <w:szCs w:val="20"/>
        </w:rPr>
        <w:t xml:space="preserve">Measuring outcomes of cataract surgery using the Visual Function Index-14. </w:t>
      </w:r>
      <w:r w:rsidRPr="001111AC">
        <w:rPr>
          <w:rFonts w:cstheme="minorHAnsi"/>
          <w:b/>
          <w:bCs/>
          <w:sz w:val="20"/>
          <w:szCs w:val="20"/>
          <w:u w:val="single"/>
        </w:rPr>
        <w:t>J Cataract Refract Surg</w:t>
      </w:r>
      <w:r w:rsidR="004E2E40" w:rsidRPr="001111AC">
        <w:rPr>
          <w:rFonts w:cstheme="minorHAnsi"/>
          <w:b/>
          <w:bCs/>
          <w:sz w:val="20"/>
          <w:szCs w:val="20"/>
        </w:rPr>
        <w:t xml:space="preserve">, </w:t>
      </w:r>
      <w:r w:rsidRPr="001111AC">
        <w:rPr>
          <w:rFonts w:cstheme="minorHAnsi"/>
          <w:b/>
          <w:bCs/>
          <w:sz w:val="20"/>
          <w:szCs w:val="20"/>
        </w:rPr>
        <w:t>36(7)</w:t>
      </w:r>
      <w:r w:rsidR="004E2E40" w:rsidRPr="001111AC">
        <w:rPr>
          <w:rFonts w:cstheme="minorHAnsi"/>
          <w:b/>
          <w:bCs/>
          <w:sz w:val="20"/>
          <w:szCs w:val="20"/>
        </w:rPr>
        <w:t xml:space="preserve">, </w:t>
      </w:r>
      <w:r w:rsidRPr="001111AC">
        <w:rPr>
          <w:rFonts w:cstheme="minorHAnsi"/>
          <w:b/>
          <w:bCs/>
          <w:sz w:val="20"/>
          <w:szCs w:val="20"/>
        </w:rPr>
        <w:t xml:space="preserve">1181-8. </w:t>
      </w:r>
    </w:p>
    <w:p w14:paraId="6C922F7E" w14:textId="77777777" w:rsidR="00273418" w:rsidRPr="002C3356" w:rsidRDefault="00273418" w:rsidP="00273418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</w:rPr>
        <w:t xml:space="preserve">Hays, R. D., Calderón, J. L., Spritzer, K. L., Reise, S. P., &amp; Paz, S. H. (2018). Differential item functioning and person fit on the PROMIS physical functioning items among children and adolescents. </w:t>
      </w:r>
      <w:r w:rsidRPr="004E2E40">
        <w:rPr>
          <w:rFonts w:cstheme="minorHAnsi"/>
          <w:sz w:val="20"/>
          <w:szCs w:val="20"/>
          <w:u w:val="single"/>
        </w:rPr>
        <w:t>Quality of Life Research</w:t>
      </w:r>
      <w:r w:rsidRPr="002C3356">
        <w:rPr>
          <w:rFonts w:cstheme="minorHAnsi"/>
          <w:sz w:val="20"/>
          <w:szCs w:val="20"/>
        </w:rPr>
        <w:t>, 27 (1), 235-247.</w:t>
      </w:r>
    </w:p>
    <w:p w14:paraId="08F606C3" w14:textId="38611819" w:rsidR="004E2E40" w:rsidRPr="004E2E40" w:rsidRDefault="00802B4B" w:rsidP="004F1A6B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4E2E40">
        <w:rPr>
          <w:rFonts w:cstheme="minorHAnsi"/>
          <w:sz w:val="20"/>
          <w:szCs w:val="20"/>
        </w:rPr>
        <w:t xml:space="preserve">Hays, R. D., </w:t>
      </w:r>
      <w:proofErr w:type="spellStart"/>
      <w:r w:rsidRPr="004E2E40">
        <w:rPr>
          <w:rFonts w:cstheme="minorHAnsi"/>
          <w:sz w:val="20"/>
          <w:szCs w:val="20"/>
        </w:rPr>
        <w:t>MacRae</w:t>
      </w:r>
      <w:proofErr w:type="spellEnd"/>
      <w:r w:rsidRPr="004E2E40">
        <w:rPr>
          <w:rFonts w:cstheme="minorHAnsi"/>
          <w:sz w:val="20"/>
          <w:szCs w:val="20"/>
        </w:rPr>
        <w:t xml:space="preserve">, S., Holladay, J., Tarver, M. E., Lum, F., Stark, W., </w:t>
      </w:r>
      <w:proofErr w:type="spellStart"/>
      <w:r w:rsidRPr="004E2E40">
        <w:rPr>
          <w:rFonts w:cstheme="minorHAnsi"/>
          <w:sz w:val="20"/>
          <w:szCs w:val="20"/>
        </w:rPr>
        <w:t>Weidmer</w:t>
      </w:r>
      <w:proofErr w:type="spellEnd"/>
      <w:r w:rsidRPr="004E2E40">
        <w:rPr>
          <w:rFonts w:cstheme="minorHAnsi"/>
          <w:sz w:val="20"/>
          <w:szCs w:val="20"/>
        </w:rPr>
        <w:t xml:space="preserve">, B., Kumar, N., Lau, G., Nguyen, T., Schallhorn, S., </w:t>
      </w:r>
      <w:proofErr w:type="spellStart"/>
      <w:r w:rsidRPr="004E2E40">
        <w:rPr>
          <w:rFonts w:cstheme="minorHAnsi"/>
          <w:sz w:val="20"/>
          <w:szCs w:val="20"/>
        </w:rPr>
        <w:t>Eydleman</w:t>
      </w:r>
      <w:proofErr w:type="spellEnd"/>
      <w:r w:rsidRPr="004E2E40">
        <w:rPr>
          <w:rFonts w:cstheme="minorHAnsi"/>
          <w:sz w:val="20"/>
          <w:szCs w:val="20"/>
        </w:rPr>
        <w:t xml:space="preserve">, M., &amp; </w:t>
      </w:r>
      <w:proofErr w:type="spellStart"/>
      <w:r w:rsidRPr="004E2E40">
        <w:rPr>
          <w:rFonts w:cstheme="minorHAnsi"/>
          <w:sz w:val="20"/>
          <w:szCs w:val="20"/>
        </w:rPr>
        <w:t>Masket</w:t>
      </w:r>
      <w:proofErr w:type="spellEnd"/>
      <w:r w:rsidRPr="004E2E40">
        <w:rPr>
          <w:rFonts w:cstheme="minorHAnsi"/>
          <w:sz w:val="20"/>
          <w:szCs w:val="20"/>
        </w:rPr>
        <w:t xml:space="preserve">, S.  (2023). Development of a patient-reported outcome measure to assess symptoms associated with cataract surgery and intraocular lens implants.  </w:t>
      </w:r>
      <w:r w:rsidRPr="004E2E40">
        <w:rPr>
          <w:rFonts w:cstheme="minorHAnsi"/>
          <w:sz w:val="20"/>
          <w:szCs w:val="20"/>
          <w:u w:val="single"/>
        </w:rPr>
        <w:t>Ophthalmology</w:t>
      </w:r>
      <w:r w:rsidR="004E2E40">
        <w:rPr>
          <w:rFonts w:cstheme="minorHAnsi"/>
          <w:sz w:val="20"/>
          <w:szCs w:val="20"/>
        </w:rPr>
        <w:t xml:space="preserve">, </w:t>
      </w:r>
      <w:r w:rsidR="004E2E40" w:rsidRPr="004E2E40">
        <w:rPr>
          <w:bCs/>
        </w:rPr>
        <w:t>130, 715-725.</w:t>
      </w:r>
    </w:p>
    <w:p w14:paraId="5D546A1E" w14:textId="3198FD1C" w:rsidR="00A47A1C" w:rsidRPr="001111AC" w:rsidRDefault="00A47A1C" w:rsidP="00A47A1C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lastRenderedPageBreak/>
        <w:t xml:space="preserve">Hays, R. D., Mangione, C. M., Ellwein, L., Lindblad, A. S., Spritzer, K. L., &amp; McDonnell, P. J., </w:t>
      </w:r>
      <w:r w:rsidR="00315204" w:rsidRPr="001111AC">
        <w:rPr>
          <w:rFonts w:cstheme="minorHAnsi"/>
          <w:b/>
          <w:bCs/>
          <w:sz w:val="20"/>
          <w:szCs w:val="20"/>
        </w:rPr>
        <w:t>&amp;</w:t>
      </w:r>
      <w:r w:rsidRPr="001111AC">
        <w:rPr>
          <w:rFonts w:cstheme="minorHAnsi"/>
          <w:b/>
          <w:bCs/>
          <w:sz w:val="20"/>
          <w:szCs w:val="20"/>
        </w:rPr>
        <w:t xml:space="preserve"> NEI-RQL Research Group.  (2003).  Psychometric properties of the National Eye Institute – Refractive Error Quality of Life Instrument.  </w:t>
      </w:r>
      <w:r w:rsidRPr="001111AC">
        <w:rPr>
          <w:rFonts w:cstheme="minorHAnsi"/>
          <w:b/>
          <w:bCs/>
          <w:sz w:val="20"/>
          <w:szCs w:val="20"/>
          <w:u w:val="single"/>
        </w:rPr>
        <w:t>Ophthalmology</w:t>
      </w:r>
      <w:r w:rsidRPr="001111AC">
        <w:rPr>
          <w:rFonts w:cstheme="minorHAnsi"/>
          <w:b/>
          <w:bCs/>
          <w:sz w:val="20"/>
          <w:szCs w:val="20"/>
        </w:rPr>
        <w:t>, 110 (12), 2292-2301.</w:t>
      </w:r>
    </w:p>
    <w:p w14:paraId="355CBE63" w14:textId="78BD58F9" w:rsidR="002C3356" w:rsidRPr="002C3356" w:rsidRDefault="002C3356" w:rsidP="002C3356">
      <w:pPr>
        <w:numPr>
          <w:ilvl w:val="0"/>
          <w:numId w:val="1"/>
        </w:numPr>
        <w:tabs>
          <w:tab w:val="num" w:pos="900"/>
        </w:tabs>
        <w:spacing w:after="120" w:line="240" w:lineRule="auto"/>
        <w:rPr>
          <w:color w:val="000000"/>
          <w:sz w:val="20"/>
          <w:szCs w:val="20"/>
        </w:rPr>
      </w:pPr>
      <w:r w:rsidRPr="002C3356">
        <w:rPr>
          <w:sz w:val="20"/>
          <w:szCs w:val="20"/>
        </w:rPr>
        <w:t xml:space="preserve">Hays, R. D., &amp; </w:t>
      </w:r>
      <w:proofErr w:type="spellStart"/>
      <w:r w:rsidRPr="002C3356">
        <w:rPr>
          <w:sz w:val="20"/>
          <w:szCs w:val="20"/>
        </w:rPr>
        <w:t>Peipert</w:t>
      </w:r>
      <w:proofErr w:type="spellEnd"/>
      <w:r w:rsidRPr="002C3356">
        <w:rPr>
          <w:sz w:val="20"/>
          <w:szCs w:val="20"/>
        </w:rPr>
        <w:t xml:space="preserve">, J. (2021).  </w:t>
      </w:r>
      <w:proofErr w:type="gramStart"/>
      <w:r w:rsidRPr="002C3356">
        <w:rPr>
          <w:sz w:val="20"/>
          <w:szCs w:val="20"/>
        </w:rPr>
        <w:t>Between-group</w:t>
      </w:r>
      <w:proofErr w:type="gramEnd"/>
      <w:r w:rsidRPr="002C3356">
        <w:rPr>
          <w:sz w:val="20"/>
          <w:szCs w:val="20"/>
        </w:rPr>
        <w:t xml:space="preserve"> minimally important change versus individual treatment responders.  </w:t>
      </w:r>
      <w:r w:rsidRPr="002C3356">
        <w:rPr>
          <w:sz w:val="20"/>
          <w:szCs w:val="20"/>
          <w:u w:val="single"/>
        </w:rPr>
        <w:t>Quality of Life Research</w:t>
      </w:r>
      <w:r w:rsidRPr="002C3356">
        <w:rPr>
          <w:sz w:val="20"/>
          <w:szCs w:val="20"/>
        </w:rPr>
        <w:t xml:space="preserve">, </w:t>
      </w:r>
      <w:r w:rsidRPr="00315204">
        <w:rPr>
          <w:sz w:val="20"/>
          <w:szCs w:val="20"/>
        </w:rPr>
        <w:t>30</w:t>
      </w:r>
      <w:r w:rsidRPr="002C3356">
        <w:rPr>
          <w:sz w:val="20"/>
          <w:szCs w:val="20"/>
        </w:rPr>
        <w:t xml:space="preserve">, 2765-2772.  </w:t>
      </w:r>
    </w:p>
    <w:p w14:paraId="0C6D8D63" w14:textId="295FD159" w:rsidR="00A13FA7" w:rsidRPr="002C3356" w:rsidRDefault="00A13FA7" w:rsidP="00A47A1C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sz w:val="20"/>
          <w:szCs w:val="20"/>
        </w:rPr>
        <w:t xml:space="preserve">Hays, R. D., Spritzer, K. L., &amp; Reise, S. P.  (2021).  Using item response theory to identify responders to treatment: Examples with the Patient-Reported Outcomes Measurement Information System (PROMIS) physical functioning and emotional distress scales.  </w:t>
      </w:r>
      <w:r w:rsidRPr="002C3356">
        <w:rPr>
          <w:sz w:val="20"/>
          <w:szCs w:val="20"/>
          <w:u w:val="single"/>
        </w:rPr>
        <w:t>Psychometrika</w:t>
      </w:r>
      <w:r w:rsidRPr="002C3356">
        <w:rPr>
          <w:sz w:val="20"/>
          <w:szCs w:val="20"/>
        </w:rPr>
        <w:t xml:space="preserve">, </w:t>
      </w:r>
      <w:r w:rsidRPr="00315204">
        <w:rPr>
          <w:sz w:val="20"/>
          <w:szCs w:val="20"/>
        </w:rPr>
        <w:t>86(</w:t>
      </w:r>
      <w:r w:rsidRPr="002C3356">
        <w:rPr>
          <w:sz w:val="20"/>
          <w:szCs w:val="20"/>
        </w:rPr>
        <w:t xml:space="preserve">3), 781-792. </w:t>
      </w:r>
    </w:p>
    <w:p w14:paraId="0A77D798" w14:textId="77777777" w:rsidR="00A47A1C" w:rsidRPr="002C3356" w:rsidRDefault="00A47A1C" w:rsidP="00A47A1C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</w:rPr>
        <w:t xml:space="preserve">Hays, R. D., Tarver, M. E., Spritzer, K. L., Reise, S., </w:t>
      </w:r>
      <w:proofErr w:type="spellStart"/>
      <w:r w:rsidRPr="002C3356">
        <w:rPr>
          <w:rFonts w:cstheme="minorHAnsi"/>
          <w:sz w:val="20"/>
          <w:szCs w:val="20"/>
        </w:rPr>
        <w:t>Hilmantel</w:t>
      </w:r>
      <w:proofErr w:type="spellEnd"/>
      <w:r w:rsidRPr="002C3356">
        <w:rPr>
          <w:rFonts w:cstheme="minorHAnsi"/>
          <w:sz w:val="20"/>
          <w:szCs w:val="20"/>
        </w:rPr>
        <w:t xml:space="preserve">, G., Hofmeister, E. M., Hammel, K., May, J., Ferris, F., &amp; Eydelman, M.  (2017).  Psychometric properties of a questionnaire assessing patient-reported outcomes with LASIK (PROWL).  </w:t>
      </w:r>
      <w:r w:rsidRPr="002C3356">
        <w:rPr>
          <w:rFonts w:cstheme="minorHAnsi"/>
          <w:sz w:val="20"/>
          <w:szCs w:val="20"/>
          <w:u w:val="single"/>
        </w:rPr>
        <w:t>JAMA Ophthalmology</w:t>
      </w:r>
      <w:r w:rsidRPr="002C3356">
        <w:rPr>
          <w:rFonts w:cstheme="minorHAnsi"/>
          <w:sz w:val="20"/>
          <w:szCs w:val="20"/>
        </w:rPr>
        <w:t>, 135 (1), 3-12.</w:t>
      </w:r>
    </w:p>
    <w:p w14:paraId="1B3AC8C8" w14:textId="77777777" w:rsidR="00D33A66" w:rsidRPr="00D33A66" w:rsidRDefault="00D33A66" w:rsidP="00D33A6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D33A66">
        <w:rPr>
          <w:rFonts w:cstheme="minorHAnsi"/>
          <w:sz w:val="20"/>
          <w:szCs w:val="20"/>
        </w:rPr>
        <w:t xml:space="preserve">Hays, R. D., Weech-Maldonado, R., Teresi, J. A., Wallace, S. P., &amp; Stewart, A. L. (2018). Copyright restrictions versus open access to survey instruments.  </w:t>
      </w:r>
      <w:r w:rsidRPr="00D33A66">
        <w:rPr>
          <w:rFonts w:cstheme="minorHAnsi"/>
          <w:sz w:val="20"/>
          <w:szCs w:val="20"/>
          <w:u w:val="single"/>
        </w:rPr>
        <w:t>Medical Care</w:t>
      </w:r>
      <w:r w:rsidRPr="00D33A66">
        <w:rPr>
          <w:rFonts w:cstheme="minorHAnsi"/>
          <w:sz w:val="20"/>
          <w:szCs w:val="20"/>
        </w:rPr>
        <w:t>, 56 (2), 107-110.</w:t>
      </w:r>
    </w:p>
    <w:p w14:paraId="5EA87D7F" w14:textId="590C9EA4" w:rsidR="0050118A" w:rsidRDefault="0050118A" w:rsidP="0074189B">
      <w:pPr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2C3356">
        <w:rPr>
          <w:rFonts w:cstheme="minorHAnsi"/>
          <w:sz w:val="20"/>
          <w:szCs w:val="20"/>
        </w:rPr>
        <w:t>Jabrayilov</w:t>
      </w:r>
      <w:proofErr w:type="spellEnd"/>
      <w:r w:rsidR="00C85554">
        <w:rPr>
          <w:rFonts w:cstheme="minorHAnsi"/>
          <w:sz w:val="20"/>
          <w:szCs w:val="20"/>
        </w:rPr>
        <w:t xml:space="preserve">, R., Emons, W. H. M., &amp; </w:t>
      </w:r>
      <w:proofErr w:type="spellStart"/>
      <w:r w:rsidR="00C85554">
        <w:rPr>
          <w:rFonts w:cstheme="minorHAnsi"/>
          <w:sz w:val="20"/>
          <w:szCs w:val="20"/>
        </w:rPr>
        <w:t>Sijtsma</w:t>
      </w:r>
      <w:proofErr w:type="spellEnd"/>
      <w:r w:rsidR="00C85554">
        <w:rPr>
          <w:rFonts w:cstheme="minorHAnsi"/>
          <w:sz w:val="20"/>
          <w:szCs w:val="20"/>
        </w:rPr>
        <w:t>, K.</w:t>
      </w:r>
      <w:r w:rsidRPr="002C3356">
        <w:rPr>
          <w:rFonts w:cstheme="minorHAnsi"/>
          <w:sz w:val="20"/>
          <w:szCs w:val="20"/>
        </w:rPr>
        <w:t xml:space="preserve"> (2016).  Comparison of classical test theory and item response theory in individual change assessment.  </w:t>
      </w:r>
      <w:proofErr w:type="spellStart"/>
      <w:r w:rsidRPr="002C3356">
        <w:rPr>
          <w:rFonts w:cstheme="minorHAnsi"/>
          <w:sz w:val="20"/>
          <w:szCs w:val="20"/>
          <w:u w:val="single"/>
        </w:rPr>
        <w:t>Appled</w:t>
      </w:r>
      <w:proofErr w:type="spellEnd"/>
      <w:r w:rsidRPr="002C3356">
        <w:rPr>
          <w:rFonts w:cstheme="minorHAnsi"/>
          <w:sz w:val="20"/>
          <w:szCs w:val="20"/>
          <w:u w:val="single"/>
        </w:rPr>
        <w:t xml:space="preserve"> Psychological Measurement</w:t>
      </w:r>
      <w:r w:rsidRPr="002C3356">
        <w:rPr>
          <w:rFonts w:cstheme="minorHAnsi"/>
          <w:sz w:val="20"/>
          <w:szCs w:val="20"/>
        </w:rPr>
        <w:t>, 40(8), 559-572.</w:t>
      </w:r>
    </w:p>
    <w:p w14:paraId="55C124C8" w14:textId="4C25E914" w:rsidR="00F82E5E" w:rsidRPr="00BB4467" w:rsidRDefault="00A07ADD" w:rsidP="00B219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t>Jacobson</w:t>
      </w:r>
      <w:r w:rsidR="00F82E5E" w:rsidRPr="001111AC">
        <w:rPr>
          <w:rFonts w:cstheme="minorHAnsi"/>
          <w:b/>
          <w:bCs/>
          <w:color w:val="000000"/>
          <w:kern w:val="0"/>
          <w:sz w:val="20"/>
          <w:szCs w:val="20"/>
        </w:rPr>
        <w:t xml:space="preserve">, N. S., &amp; Truax, P. (1991). Clinical significance: A statistical approach to defining meaningful change in psychotherapy research. </w:t>
      </w:r>
      <w:r w:rsidR="00F82E5E" w:rsidRPr="001111AC">
        <w:rPr>
          <w:rFonts w:cstheme="minorHAnsi"/>
          <w:b/>
          <w:bCs/>
          <w:color w:val="000000"/>
          <w:kern w:val="0"/>
          <w:sz w:val="20"/>
          <w:szCs w:val="20"/>
          <w:u w:val="single"/>
        </w:rPr>
        <w:t>Journal of Consulting and Clinical Psychology</w:t>
      </w:r>
      <w:r w:rsidR="00F82E5E" w:rsidRPr="001111AC">
        <w:rPr>
          <w:rFonts w:cstheme="minorHAnsi"/>
          <w:b/>
          <w:bCs/>
          <w:i/>
          <w:iCs/>
          <w:color w:val="000000"/>
          <w:kern w:val="0"/>
          <w:sz w:val="20"/>
          <w:szCs w:val="20"/>
        </w:rPr>
        <w:t>, 59</w:t>
      </w:r>
      <w:r w:rsidR="00F82E5E" w:rsidRPr="001111AC">
        <w:rPr>
          <w:rFonts w:cstheme="minorHAnsi"/>
          <w:b/>
          <w:bCs/>
          <w:color w:val="000000"/>
          <w:kern w:val="0"/>
          <w:sz w:val="20"/>
          <w:szCs w:val="20"/>
        </w:rPr>
        <w:t xml:space="preserve">(1), 12–19. </w:t>
      </w:r>
    </w:p>
    <w:p w14:paraId="67CF1F46" w14:textId="1494AAC7" w:rsidR="00BB4467" w:rsidRPr="00BB4467" w:rsidRDefault="00BB4467" w:rsidP="00C422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B4467">
        <w:rPr>
          <w:sz w:val="20"/>
          <w:szCs w:val="20"/>
        </w:rPr>
        <w:t>Johnson, E., Reise, S. P., Spritzer, K. L., &amp; Hays, R. D.  (</w:t>
      </w:r>
      <w:proofErr w:type="gramStart"/>
      <w:r w:rsidRPr="00BB4467">
        <w:rPr>
          <w:sz w:val="20"/>
          <w:szCs w:val="20"/>
        </w:rPr>
        <w:t>in</w:t>
      </w:r>
      <w:proofErr w:type="gramEnd"/>
      <w:r w:rsidRPr="00BB4467">
        <w:rPr>
          <w:sz w:val="20"/>
          <w:szCs w:val="20"/>
        </w:rPr>
        <w:t xml:space="preserve"> press).  Seeing the light in self-reported glare.  </w:t>
      </w:r>
      <w:r w:rsidRPr="00BB4467">
        <w:rPr>
          <w:sz w:val="20"/>
          <w:szCs w:val="20"/>
          <w:u w:val="single"/>
        </w:rPr>
        <w:t>European Journal of Psychological Assessment</w:t>
      </w:r>
    </w:p>
    <w:p w14:paraId="32969BC4" w14:textId="77777777" w:rsidR="00A47A1C" w:rsidRPr="002C3356" w:rsidRDefault="00A47A1C" w:rsidP="00A47A1C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</w:rPr>
        <w:t xml:space="preserve">Kowalski, J.W., Rentz, A. M., Walt, J. G., Lloyd, A., Lee, J., Young, T. A., Chen, W-H., Bressler, N. M., Lee, P., Brazier, J. E., Hays, R. D., &amp; </w:t>
      </w:r>
      <w:proofErr w:type="spellStart"/>
      <w:r w:rsidRPr="002C3356">
        <w:rPr>
          <w:rFonts w:cstheme="minorHAnsi"/>
          <w:sz w:val="20"/>
          <w:szCs w:val="20"/>
        </w:rPr>
        <w:t>Revicki</w:t>
      </w:r>
      <w:proofErr w:type="spellEnd"/>
      <w:r w:rsidRPr="002C3356">
        <w:rPr>
          <w:rFonts w:cstheme="minorHAnsi"/>
          <w:sz w:val="20"/>
          <w:szCs w:val="20"/>
        </w:rPr>
        <w:t xml:space="preserve">, D. A.  (2012).  Rasch analysis in the development of a simplified version of the National Eye Institute Visual-Function Questionnaire-25 for utility estimation.  </w:t>
      </w:r>
      <w:r w:rsidRPr="002C3356">
        <w:rPr>
          <w:rFonts w:cstheme="minorHAnsi"/>
          <w:sz w:val="20"/>
          <w:szCs w:val="20"/>
          <w:u w:val="single"/>
        </w:rPr>
        <w:t>Quality of Life Research</w:t>
      </w:r>
      <w:r w:rsidRPr="002C3356">
        <w:rPr>
          <w:rFonts w:cstheme="minorHAnsi"/>
          <w:sz w:val="20"/>
          <w:szCs w:val="20"/>
        </w:rPr>
        <w:t>, 21, 323-334.</w:t>
      </w:r>
    </w:p>
    <w:p w14:paraId="79C9ECE6" w14:textId="4D559640" w:rsidR="00A47A1C" w:rsidRPr="002C3356" w:rsidRDefault="00E55FBD" w:rsidP="00A47A1C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</w:rPr>
        <w:t xml:space="preserve">Mangione, C. M., Berry, S., </w:t>
      </w:r>
      <w:proofErr w:type="spellStart"/>
      <w:r w:rsidRPr="002C3356">
        <w:rPr>
          <w:rFonts w:cstheme="minorHAnsi"/>
          <w:sz w:val="20"/>
          <w:szCs w:val="20"/>
        </w:rPr>
        <w:t>Spritze</w:t>
      </w:r>
      <w:proofErr w:type="spellEnd"/>
      <w:r w:rsidRPr="002C3356">
        <w:rPr>
          <w:rFonts w:cstheme="minorHAnsi"/>
          <w:sz w:val="20"/>
          <w:szCs w:val="20"/>
        </w:rPr>
        <w:t>, K., Janz, N</w:t>
      </w:r>
      <w:proofErr w:type="gramStart"/>
      <w:r w:rsidRPr="002C3356">
        <w:rPr>
          <w:rFonts w:cstheme="minorHAnsi"/>
          <w:sz w:val="20"/>
          <w:szCs w:val="20"/>
        </w:rPr>
        <w:t>. K.,</w:t>
      </w:r>
      <w:proofErr w:type="gramEnd"/>
      <w:r w:rsidRPr="002C3356">
        <w:rPr>
          <w:rFonts w:cstheme="minorHAnsi"/>
          <w:sz w:val="20"/>
          <w:szCs w:val="20"/>
        </w:rPr>
        <w:t xml:space="preserve"> Klein, R., Owsley, C., &amp; Lee, P. P. (1998).  Identifying the content area for the 51-item National Eye Institute Visual Function Questionnaire.  </w:t>
      </w:r>
      <w:r w:rsidRPr="002C3356">
        <w:rPr>
          <w:rFonts w:cstheme="minorHAnsi"/>
          <w:sz w:val="20"/>
          <w:szCs w:val="20"/>
          <w:u w:val="single"/>
        </w:rPr>
        <w:t xml:space="preserve">Arch </w:t>
      </w:r>
      <w:proofErr w:type="spellStart"/>
      <w:r w:rsidRPr="002C3356">
        <w:rPr>
          <w:rFonts w:cstheme="minorHAnsi"/>
          <w:sz w:val="20"/>
          <w:szCs w:val="20"/>
          <w:u w:val="single"/>
        </w:rPr>
        <w:t>Ophthalmol</w:t>
      </w:r>
      <w:proofErr w:type="spellEnd"/>
      <w:r w:rsidRPr="002C3356">
        <w:rPr>
          <w:rFonts w:cstheme="minorHAnsi"/>
          <w:sz w:val="20"/>
          <w:szCs w:val="20"/>
          <w:u w:val="single"/>
        </w:rPr>
        <w:t>,</w:t>
      </w:r>
      <w:r w:rsidRPr="002C3356">
        <w:rPr>
          <w:rFonts w:cstheme="minorHAnsi"/>
          <w:sz w:val="20"/>
          <w:szCs w:val="20"/>
        </w:rPr>
        <w:t xml:space="preserve"> 116, 227-233.</w:t>
      </w:r>
    </w:p>
    <w:p w14:paraId="56E274DC" w14:textId="77777777" w:rsidR="00A47A1C" w:rsidRPr="002C3356" w:rsidRDefault="00A47A1C" w:rsidP="00A47A1C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  <w:lang w:val="de-DE"/>
        </w:rPr>
        <w:t xml:space="preserve">Mangione, C. M., Lee, P. P., Gutierrez, P. R., Spritzer, K., Berry, S., &amp; Hays, R. D.  </w:t>
      </w:r>
      <w:r w:rsidRPr="002C3356">
        <w:rPr>
          <w:rFonts w:cstheme="minorHAnsi"/>
          <w:sz w:val="20"/>
          <w:szCs w:val="20"/>
        </w:rPr>
        <w:t xml:space="preserve">(2001).  Development of the 25-item National Eye Institute Visual Function Questionnaire (VFQ-25).  </w:t>
      </w:r>
      <w:r w:rsidRPr="002C3356">
        <w:rPr>
          <w:rFonts w:cstheme="minorHAnsi"/>
          <w:sz w:val="20"/>
          <w:szCs w:val="20"/>
          <w:u w:val="single"/>
        </w:rPr>
        <w:t>Archives of Ophthalmology</w:t>
      </w:r>
      <w:r w:rsidRPr="002C3356">
        <w:rPr>
          <w:rFonts w:cstheme="minorHAnsi"/>
          <w:sz w:val="20"/>
          <w:szCs w:val="20"/>
        </w:rPr>
        <w:t>, 119, 1050-1058.</w:t>
      </w:r>
    </w:p>
    <w:p w14:paraId="48AA00C6" w14:textId="77777777" w:rsidR="00A47A1C" w:rsidRPr="002C3356" w:rsidRDefault="00A47A1C" w:rsidP="00A47A1C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  <w:lang w:val="it-IT"/>
        </w:rPr>
        <w:t xml:space="preserve">Mangione, C. M., Lee, P. P., &amp; Hays, R.D. (1996). </w:t>
      </w:r>
      <w:r w:rsidRPr="002C3356">
        <w:rPr>
          <w:rFonts w:cstheme="minorHAnsi"/>
          <w:sz w:val="20"/>
          <w:szCs w:val="20"/>
        </w:rPr>
        <w:t xml:space="preserve">Measurement of Visual Functioning and Health-Related Quality of Life in Eye Disease and Cataract Surgery. In B. Spilker (ed.), </w:t>
      </w:r>
      <w:r w:rsidRPr="002C3356">
        <w:rPr>
          <w:rFonts w:cstheme="minorHAnsi"/>
          <w:sz w:val="20"/>
          <w:szCs w:val="20"/>
          <w:u w:val="single"/>
        </w:rPr>
        <w:t>Quality of Life and Pharmacoeconomics in Clinical Trials, 2nd edition</w:t>
      </w:r>
      <w:r w:rsidRPr="002C3356">
        <w:rPr>
          <w:rFonts w:cstheme="minorHAnsi"/>
          <w:sz w:val="20"/>
          <w:szCs w:val="20"/>
        </w:rPr>
        <w:t>. (pp. 1045-1051). New York: Lippincott-Raven Publishers.</w:t>
      </w:r>
    </w:p>
    <w:p w14:paraId="3CEC9880" w14:textId="77777777" w:rsidR="00A47A1C" w:rsidRPr="001111AC" w:rsidRDefault="00A47A1C" w:rsidP="00A47A1C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  <w:lang w:val="de-DE"/>
        </w:rPr>
        <w:t xml:space="preserve">Mangione, C. M., Lee, P. P., Pitts, J., Gutierrez, P., Berry S., &amp; Hays, R. D. (1998). </w:t>
      </w:r>
      <w:r w:rsidRPr="001111AC">
        <w:rPr>
          <w:rFonts w:cstheme="minorHAnsi"/>
          <w:b/>
          <w:bCs/>
          <w:sz w:val="20"/>
          <w:szCs w:val="20"/>
        </w:rPr>
        <w:t xml:space="preserve">Psychometric properties of the National Eye Institute Visual Function Questionnaire, the NEI-VFQ. </w:t>
      </w:r>
      <w:r w:rsidRPr="001111AC">
        <w:rPr>
          <w:rFonts w:cstheme="minorHAnsi"/>
          <w:b/>
          <w:bCs/>
          <w:sz w:val="20"/>
          <w:szCs w:val="20"/>
          <w:u w:val="single"/>
        </w:rPr>
        <w:t>Archives of Ophthalmology</w:t>
      </w:r>
      <w:r w:rsidRPr="001111AC">
        <w:rPr>
          <w:rFonts w:cstheme="minorHAnsi"/>
          <w:b/>
          <w:bCs/>
          <w:sz w:val="20"/>
          <w:szCs w:val="20"/>
        </w:rPr>
        <w:t>, 116, 1496-1504.</w:t>
      </w:r>
    </w:p>
    <w:p w14:paraId="3C116F19" w14:textId="3BECCD21" w:rsidR="00E84198" w:rsidRPr="001111AC" w:rsidRDefault="004E7233" w:rsidP="00DA64D1">
      <w:pPr>
        <w:numPr>
          <w:ilvl w:val="0"/>
          <w:numId w:val="1"/>
        </w:numPr>
        <w:suppressLineNumbers/>
        <w:spacing w:after="120" w:line="240" w:lineRule="auto"/>
        <w:rPr>
          <w:rFonts w:cstheme="minorHAnsi"/>
          <w:b/>
          <w:bCs/>
          <w:sz w:val="20"/>
          <w:szCs w:val="20"/>
        </w:rPr>
      </w:pPr>
      <w:proofErr w:type="spellStart"/>
      <w:r w:rsidRPr="001111AC">
        <w:rPr>
          <w:rFonts w:cstheme="minorHAnsi"/>
          <w:b/>
          <w:bCs/>
          <w:sz w:val="20"/>
          <w:szCs w:val="20"/>
        </w:rPr>
        <w:t>Masket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, S., Lum, F., </w:t>
      </w:r>
      <w:proofErr w:type="spellStart"/>
      <w:r w:rsidRPr="001111AC">
        <w:rPr>
          <w:rFonts w:cstheme="minorHAnsi"/>
          <w:b/>
          <w:bCs/>
          <w:sz w:val="20"/>
          <w:szCs w:val="20"/>
        </w:rPr>
        <w:t>MacRae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, S., Hays, R.D., Tarver, M.E., Holladay, J., Yoon, G., Nguyen, T., Stark, W., Kumar, N., Lau, G., Schallhorn, S., &amp; Eydelman, M. (2023). Symptoms and satisfaction levels associated with Intraocular Lens Implants in the </w:t>
      </w:r>
      <w:proofErr w:type="spellStart"/>
      <w:r w:rsidRPr="001111AC">
        <w:rPr>
          <w:rFonts w:cstheme="minorHAnsi"/>
          <w:b/>
          <w:bCs/>
          <w:sz w:val="20"/>
          <w:szCs w:val="20"/>
        </w:rPr>
        <w:t>monofocal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 and premium IOL Patient-Reported Outcome Measure Study. </w:t>
      </w:r>
      <w:r w:rsidRPr="001111AC">
        <w:rPr>
          <w:rFonts w:cstheme="minorHAnsi"/>
          <w:b/>
          <w:bCs/>
          <w:sz w:val="20"/>
          <w:szCs w:val="20"/>
          <w:u w:val="single"/>
        </w:rPr>
        <w:t>Ophthalmology</w:t>
      </w:r>
      <w:r w:rsidR="00E84198" w:rsidRPr="001111AC">
        <w:rPr>
          <w:rFonts w:cstheme="minorHAnsi"/>
          <w:b/>
          <w:bCs/>
          <w:sz w:val="20"/>
          <w:szCs w:val="20"/>
        </w:rPr>
        <w:t>,</w:t>
      </w:r>
      <w:r w:rsidRPr="001111AC">
        <w:rPr>
          <w:rFonts w:cstheme="minorHAnsi"/>
          <w:b/>
          <w:bCs/>
          <w:sz w:val="20"/>
          <w:szCs w:val="20"/>
        </w:rPr>
        <w:t xml:space="preserve"> </w:t>
      </w:r>
      <w:r w:rsidR="00E84198" w:rsidRPr="001111AC">
        <w:rPr>
          <w:b/>
          <w:bCs/>
          <w:sz w:val="20"/>
          <w:szCs w:val="20"/>
        </w:rPr>
        <w:t>130, 726-734</w:t>
      </w:r>
    </w:p>
    <w:p w14:paraId="7EB8338C" w14:textId="7B9E8E32" w:rsidR="00A47A1C" w:rsidRPr="001111AC" w:rsidRDefault="004E7233" w:rsidP="00A47A1C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t xml:space="preserve">McKean-Cowdin, R., Varma, R., Wu, J., Hays, R. D., Azen, S. P., &amp; The Los Angeles Latino Eye Study Group.  (2007).  Severity of visual field loss and health related quality of life.  </w:t>
      </w:r>
      <w:r w:rsidRPr="001111AC">
        <w:rPr>
          <w:rFonts w:cstheme="minorHAnsi"/>
          <w:b/>
          <w:bCs/>
          <w:sz w:val="20"/>
          <w:szCs w:val="20"/>
          <w:u w:val="single"/>
        </w:rPr>
        <w:t xml:space="preserve">Am J </w:t>
      </w:r>
      <w:proofErr w:type="spellStart"/>
      <w:r w:rsidRPr="001111AC">
        <w:rPr>
          <w:rFonts w:cstheme="minorHAnsi"/>
          <w:b/>
          <w:bCs/>
          <w:sz w:val="20"/>
          <w:szCs w:val="20"/>
          <w:u w:val="single"/>
        </w:rPr>
        <w:t>Oph</w:t>
      </w:r>
      <w:proofErr w:type="spellEnd"/>
      <w:r w:rsidRPr="001111AC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1111AC">
        <w:rPr>
          <w:rFonts w:cstheme="minorHAnsi"/>
          <w:b/>
          <w:bCs/>
          <w:sz w:val="20"/>
          <w:szCs w:val="20"/>
          <w:u w:val="single"/>
        </w:rPr>
        <w:t>thalmol</w:t>
      </w:r>
      <w:proofErr w:type="spellEnd"/>
      <w:r w:rsidRPr="001111AC">
        <w:rPr>
          <w:rFonts w:cstheme="minorHAnsi"/>
          <w:b/>
          <w:bCs/>
          <w:sz w:val="20"/>
          <w:szCs w:val="20"/>
        </w:rPr>
        <w:t>, 143 (6), 1013-1023.</w:t>
      </w:r>
    </w:p>
    <w:p w14:paraId="7EF40CCF" w14:textId="739C66F2" w:rsidR="00A47A1C" w:rsidRPr="001111AC" w:rsidRDefault="004E7233" w:rsidP="00A47A1C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lastRenderedPageBreak/>
        <w:t xml:space="preserve">McKean-Cowdin, R., Varma, R., Hays, R. D., Wu, J. Choudhury, F., &amp; Azen, S. P.  (2010). Longitudinal changes in visual acuity and health-related quality of life: The Los Angeles Latino Eye Study.  </w:t>
      </w:r>
      <w:r w:rsidRPr="001111AC">
        <w:rPr>
          <w:rFonts w:cstheme="minorHAnsi"/>
          <w:b/>
          <w:bCs/>
          <w:sz w:val="20"/>
          <w:szCs w:val="20"/>
          <w:u w:val="single"/>
        </w:rPr>
        <w:t>Ophthalmology</w:t>
      </w:r>
      <w:r w:rsidRPr="001111AC">
        <w:rPr>
          <w:rFonts w:cstheme="minorHAnsi"/>
          <w:b/>
          <w:bCs/>
          <w:sz w:val="20"/>
          <w:szCs w:val="20"/>
        </w:rPr>
        <w:t xml:space="preserve">, 117, 1900-1907.  </w:t>
      </w:r>
    </w:p>
    <w:p w14:paraId="5BA347E8" w14:textId="77777777" w:rsidR="00A47A1C" w:rsidRPr="001111AC" w:rsidRDefault="00A47A1C" w:rsidP="00A47A1C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t>M</w:t>
      </w:r>
      <w:r w:rsidRPr="001111AC">
        <w:rPr>
          <w:rFonts w:cstheme="minorHAnsi"/>
          <w:b/>
          <w:bCs/>
          <w:sz w:val="20"/>
          <w:szCs w:val="20"/>
          <w:lang w:val="de-DE"/>
        </w:rPr>
        <w:t xml:space="preserve">cDonnell, P. J., Lee, P., Spritzer, K., Lindblad, A. S., &amp; Hays, R. D.  </w:t>
      </w:r>
      <w:r w:rsidRPr="001111AC">
        <w:rPr>
          <w:rFonts w:cstheme="minorHAnsi"/>
          <w:b/>
          <w:bCs/>
          <w:sz w:val="20"/>
          <w:szCs w:val="20"/>
        </w:rPr>
        <w:t xml:space="preserve">(2003).  Associations of presbyopia with vision-targeted health-related quality of life.  </w:t>
      </w:r>
      <w:r w:rsidRPr="001111AC">
        <w:rPr>
          <w:rFonts w:cstheme="minorHAnsi"/>
          <w:b/>
          <w:bCs/>
          <w:sz w:val="20"/>
          <w:szCs w:val="20"/>
          <w:u w:val="single"/>
        </w:rPr>
        <w:t>Archives</w:t>
      </w:r>
      <w:r w:rsidRPr="001111AC">
        <w:rPr>
          <w:rFonts w:cstheme="minorHAnsi"/>
          <w:b/>
          <w:bCs/>
          <w:sz w:val="20"/>
          <w:szCs w:val="20"/>
        </w:rPr>
        <w:t xml:space="preserve"> </w:t>
      </w:r>
      <w:r w:rsidRPr="001111AC">
        <w:rPr>
          <w:rFonts w:cstheme="minorHAnsi"/>
          <w:b/>
          <w:bCs/>
          <w:sz w:val="20"/>
          <w:szCs w:val="20"/>
          <w:u w:val="single"/>
        </w:rPr>
        <w:t>of Ophthalmology</w:t>
      </w:r>
      <w:r w:rsidRPr="001111AC">
        <w:rPr>
          <w:rFonts w:cstheme="minorHAnsi"/>
          <w:b/>
          <w:bCs/>
          <w:sz w:val="20"/>
          <w:szCs w:val="20"/>
        </w:rPr>
        <w:t>, 121, 1577-1581.</w:t>
      </w:r>
    </w:p>
    <w:p w14:paraId="220A6E38" w14:textId="77777777" w:rsidR="00A47A1C" w:rsidRPr="001111AC" w:rsidRDefault="00A47A1C" w:rsidP="00A47A1C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t xml:space="preserve">McDonnell, P. J., Mangione, C., Lee, P., Lindblad, A.S., Spritzer, K. L., Berry, S., &amp; Hays, R. D., and NEI-RQL Research Group.  (2003).  Responsiveness of the National Eye Institute-Refractive Error Quality of Life Instrument to surgical correction of refractive error.  </w:t>
      </w:r>
      <w:r w:rsidRPr="001111AC">
        <w:rPr>
          <w:rFonts w:cstheme="minorHAnsi"/>
          <w:b/>
          <w:bCs/>
          <w:sz w:val="20"/>
          <w:szCs w:val="20"/>
          <w:u w:val="single"/>
        </w:rPr>
        <w:t>Ophthalmology</w:t>
      </w:r>
      <w:r w:rsidRPr="001111AC">
        <w:rPr>
          <w:rFonts w:cstheme="minorHAnsi"/>
          <w:b/>
          <w:bCs/>
          <w:sz w:val="20"/>
          <w:szCs w:val="20"/>
        </w:rPr>
        <w:t>, 110, 2302-2309.</w:t>
      </w:r>
    </w:p>
    <w:p w14:paraId="7EDE37B3" w14:textId="77777777" w:rsidR="00D37467" w:rsidRPr="001111AC" w:rsidRDefault="00D37467" w:rsidP="00D3746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t xml:space="preserve">Paz, S. H., Jones, L., Calderón, J., &amp; Hays, R. D. (2017).  Readability and comprehension of the Geriatric Depression Scale and the PROMIS® physical function items in older African Americans and Latinos. </w:t>
      </w:r>
      <w:r w:rsidRPr="001111AC">
        <w:rPr>
          <w:rFonts w:cstheme="minorHAnsi"/>
          <w:b/>
          <w:bCs/>
          <w:sz w:val="20"/>
          <w:szCs w:val="20"/>
          <w:u w:val="single"/>
        </w:rPr>
        <w:t xml:space="preserve">Patient, </w:t>
      </w:r>
      <w:r w:rsidRPr="001111AC">
        <w:rPr>
          <w:rFonts w:cstheme="minorHAnsi"/>
          <w:b/>
          <w:bCs/>
          <w:sz w:val="20"/>
          <w:szCs w:val="20"/>
        </w:rPr>
        <w:t>10 (1):117-131.</w:t>
      </w:r>
    </w:p>
    <w:p w14:paraId="33679F46" w14:textId="77777777" w:rsidR="0045318F" w:rsidRPr="002C3356" w:rsidRDefault="0045318F" w:rsidP="0045318F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  <w:lang w:val="fr-FR"/>
        </w:rPr>
        <w:t xml:space="preserve">Paz, S. H., Liu, H., </w:t>
      </w:r>
      <w:proofErr w:type="spellStart"/>
      <w:r w:rsidRPr="002C3356">
        <w:rPr>
          <w:rFonts w:cstheme="minorHAnsi"/>
          <w:sz w:val="20"/>
          <w:szCs w:val="20"/>
          <w:lang w:val="fr-FR"/>
        </w:rPr>
        <w:t>Fongwa</w:t>
      </w:r>
      <w:proofErr w:type="spellEnd"/>
      <w:r w:rsidRPr="002C3356">
        <w:rPr>
          <w:rFonts w:cstheme="minorHAnsi"/>
          <w:sz w:val="20"/>
          <w:szCs w:val="20"/>
          <w:lang w:val="fr-FR"/>
        </w:rPr>
        <w:t xml:space="preserve">, M. N., Morales, L. S., &amp; Hays, R. D.  </w:t>
      </w:r>
      <w:r w:rsidRPr="002C3356">
        <w:rPr>
          <w:rFonts w:cstheme="minorHAnsi"/>
          <w:sz w:val="20"/>
          <w:szCs w:val="20"/>
        </w:rPr>
        <w:t xml:space="preserve">(2009).  Readability estimates for commonly used health-related quality of life surveys.  </w:t>
      </w:r>
      <w:r w:rsidRPr="002C3356">
        <w:rPr>
          <w:rFonts w:cstheme="minorHAnsi"/>
          <w:sz w:val="20"/>
          <w:szCs w:val="20"/>
          <w:u w:val="single"/>
        </w:rPr>
        <w:t>Quality of Life Research</w:t>
      </w:r>
      <w:r w:rsidRPr="002C3356">
        <w:rPr>
          <w:rFonts w:cstheme="minorHAnsi"/>
          <w:sz w:val="20"/>
          <w:szCs w:val="20"/>
        </w:rPr>
        <w:t xml:space="preserve">, 18, 889-900. </w:t>
      </w:r>
    </w:p>
    <w:p w14:paraId="3FC6F589" w14:textId="66F4773B" w:rsidR="00606FCB" w:rsidRPr="002C3356" w:rsidRDefault="00802B4B" w:rsidP="00B71E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</w:rPr>
        <w:t>Paz. S. H., Slotkin, J., McKean-Cowdin, R., Lee, P., Owsley, C., Vitale, S., Varma R., Gershon, R., &amp; Hays, R.D.  (2013).   Development of a vision-targeted health</w:t>
      </w:r>
      <w:r w:rsidR="00E84198">
        <w:rPr>
          <w:rFonts w:cstheme="minorHAnsi"/>
          <w:sz w:val="20"/>
          <w:szCs w:val="20"/>
        </w:rPr>
        <w:t>-</w:t>
      </w:r>
      <w:r w:rsidRPr="002C3356">
        <w:rPr>
          <w:rFonts w:cstheme="minorHAnsi"/>
          <w:sz w:val="20"/>
          <w:szCs w:val="20"/>
        </w:rPr>
        <w:t xml:space="preserve">related quality of life item measure.  </w:t>
      </w:r>
      <w:r w:rsidRPr="002C3356">
        <w:rPr>
          <w:rFonts w:cstheme="minorHAnsi"/>
          <w:sz w:val="20"/>
          <w:szCs w:val="20"/>
          <w:u w:val="single"/>
        </w:rPr>
        <w:t>Quality of Life Research</w:t>
      </w:r>
      <w:r w:rsidRPr="002C3356">
        <w:rPr>
          <w:rFonts w:cstheme="minorHAnsi"/>
          <w:sz w:val="20"/>
          <w:szCs w:val="20"/>
        </w:rPr>
        <w:t xml:space="preserve">, </w:t>
      </w:r>
      <w:r w:rsidRPr="00E84198">
        <w:rPr>
          <w:rFonts w:cstheme="minorHAnsi"/>
          <w:sz w:val="20"/>
          <w:szCs w:val="20"/>
        </w:rPr>
        <w:t>22</w:t>
      </w:r>
      <w:r w:rsidRPr="002C3356">
        <w:rPr>
          <w:rFonts w:cstheme="minorHAnsi"/>
          <w:sz w:val="20"/>
          <w:szCs w:val="20"/>
        </w:rPr>
        <w:t xml:space="preserve">, 2477-2487. </w:t>
      </w:r>
    </w:p>
    <w:p w14:paraId="0C826519" w14:textId="6D61109B" w:rsidR="00606FCB" w:rsidRPr="002C3356" w:rsidRDefault="00606FCB" w:rsidP="00B71E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</w:rPr>
        <w:t>R</w:t>
      </w:r>
      <w:r w:rsidRPr="002C3356">
        <w:rPr>
          <w:rFonts w:cstheme="minorHAnsi"/>
          <w:kern w:val="0"/>
          <w:sz w:val="20"/>
          <w:szCs w:val="20"/>
        </w:rPr>
        <w:t xml:space="preserve">eise, S. P. (1990). A comparison of item- and person-fit methods of assessing model-data fit in IRT. </w:t>
      </w:r>
      <w:r w:rsidRPr="00E84198">
        <w:rPr>
          <w:rFonts w:cstheme="minorHAnsi"/>
          <w:kern w:val="0"/>
          <w:sz w:val="20"/>
          <w:szCs w:val="20"/>
          <w:u w:val="single"/>
        </w:rPr>
        <w:t>Applied Psychological Measurement</w:t>
      </w:r>
      <w:r w:rsidRPr="002C3356">
        <w:rPr>
          <w:rFonts w:cstheme="minorHAnsi"/>
          <w:kern w:val="0"/>
          <w:sz w:val="20"/>
          <w:szCs w:val="20"/>
        </w:rPr>
        <w:t>, 14, 127–137.</w:t>
      </w:r>
    </w:p>
    <w:p w14:paraId="51ADCCCC" w14:textId="3543EBCC" w:rsidR="00A47A1C" w:rsidRDefault="00A47A1C" w:rsidP="00A47A1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C3356">
        <w:rPr>
          <w:rFonts w:cstheme="minorHAnsi"/>
          <w:sz w:val="20"/>
          <w:szCs w:val="20"/>
        </w:rPr>
        <w:t xml:space="preserve">Rentz, A., Kowalski, J., Walt, J. G.., Hays, R. D., Brazier, J. E., Yu, R., Lee, P., Bressler, N., &amp; </w:t>
      </w:r>
      <w:proofErr w:type="spellStart"/>
      <w:r w:rsidRPr="002C3356">
        <w:rPr>
          <w:rFonts w:cstheme="minorHAnsi"/>
          <w:sz w:val="20"/>
          <w:szCs w:val="20"/>
        </w:rPr>
        <w:t>Revicki</w:t>
      </w:r>
      <w:proofErr w:type="spellEnd"/>
      <w:r w:rsidRPr="002C3356">
        <w:rPr>
          <w:rFonts w:cstheme="minorHAnsi"/>
          <w:sz w:val="20"/>
          <w:szCs w:val="20"/>
        </w:rPr>
        <w:t xml:space="preserve">, D. A.  (2014).  Development of a preference-based index from the National Eye Institute Visual Function Questionnaire-25.  </w:t>
      </w:r>
      <w:r w:rsidRPr="002C3356">
        <w:rPr>
          <w:rFonts w:cstheme="minorHAnsi"/>
          <w:sz w:val="20"/>
          <w:szCs w:val="20"/>
          <w:u w:val="single"/>
        </w:rPr>
        <w:t>JAMA Ophthalmology</w:t>
      </w:r>
      <w:r w:rsidRPr="002C3356">
        <w:rPr>
          <w:rFonts w:cstheme="minorHAnsi"/>
          <w:sz w:val="20"/>
          <w:szCs w:val="20"/>
        </w:rPr>
        <w:t xml:space="preserve">, </w:t>
      </w:r>
      <w:r w:rsidRPr="00E84198">
        <w:rPr>
          <w:rFonts w:cstheme="minorHAnsi"/>
          <w:sz w:val="20"/>
          <w:szCs w:val="20"/>
        </w:rPr>
        <w:t>132</w:t>
      </w:r>
      <w:r w:rsidRPr="002C3356">
        <w:rPr>
          <w:rFonts w:cstheme="minorHAnsi"/>
          <w:sz w:val="20"/>
          <w:szCs w:val="20"/>
        </w:rPr>
        <w:t xml:space="preserve"> (3), 310-318.</w:t>
      </w:r>
    </w:p>
    <w:p w14:paraId="04357C87" w14:textId="77777777" w:rsidR="002E2C04" w:rsidRDefault="002E2C04" w:rsidP="002E2C04">
      <w:pPr>
        <w:numPr>
          <w:ilvl w:val="0"/>
          <w:numId w:val="1"/>
        </w:numPr>
        <w:spacing w:after="120" w:line="240" w:lineRule="auto"/>
      </w:pPr>
      <w:r w:rsidRPr="00C01257">
        <w:t xml:space="preserve">Shallcross, A., Lu, N., &amp; </w:t>
      </w:r>
      <w:r w:rsidRPr="002E2C04">
        <w:rPr>
          <w:bCs/>
        </w:rPr>
        <w:t>Hays, R. D</w:t>
      </w:r>
      <w:r w:rsidRPr="00C01257">
        <w:t xml:space="preserve">.  (2020). Evaluation of the psychometric properties of the Five Facet Mindfulness Questionnaire.  </w:t>
      </w:r>
      <w:r w:rsidRPr="00C01257">
        <w:rPr>
          <w:u w:val="single"/>
        </w:rPr>
        <w:t>Journal of Psychopathology and Behavioral Assessment</w:t>
      </w:r>
      <w:r>
        <w:t xml:space="preserve">, </w:t>
      </w:r>
      <w:r w:rsidRPr="00E84198">
        <w:t>42</w:t>
      </w:r>
      <w:r>
        <w:t>, 271-280.</w:t>
      </w:r>
    </w:p>
    <w:p w14:paraId="3955FB83" w14:textId="29A3E02C" w:rsidR="006F39E3" w:rsidRDefault="006F39E3" w:rsidP="002E2C04">
      <w:pPr>
        <w:numPr>
          <w:ilvl w:val="0"/>
          <w:numId w:val="1"/>
        </w:numPr>
        <w:spacing w:after="120" w:line="240" w:lineRule="auto"/>
      </w:pPr>
      <w:r w:rsidRPr="006F39E3">
        <w:t>Thissen D</w:t>
      </w:r>
      <w:r>
        <w:t xml:space="preserve">. (2016). Bad questions: An essay involving item response theory. </w:t>
      </w:r>
      <w:r w:rsidRPr="006F39E3">
        <w:rPr>
          <w:rStyle w:val="Emphasis"/>
          <w:i w:val="0"/>
          <w:iCs w:val="0"/>
          <w:u w:val="single"/>
        </w:rPr>
        <w:t>Journal of Educational and Behavioral Statistics</w:t>
      </w:r>
      <w:r>
        <w:t>, 41, 81-89.</w:t>
      </w:r>
    </w:p>
    <w:p w14:paraId="1BDFD416" w14:textId="77777777" w:rsidR="00A47A1C" w:rsidRPr="001111AC" w:rsidRDefault="00A47A1C" w:rsidP="00A47A1C">
      <w:pPr>
        <w:numPr>
          <w:ilvl w:val="0"/>
          <w:numId w:val="1"/>
        </w:num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1111AC">
        <w:rPr>
          <w:rFonts w:cstheme="minorHAnsi"/>
          <w:b/>
          <w:bCs/>
          <w:sz w:val="20"/>
          <w:szCs w:val="20"/>
        </w:rPr>
        <w:t xml:space="preserve">Varma, R., Wu, J., Chong, K., Azen, S. P., &amp; Hays, R. D. (2006). Impact of severity and bilaterality of visual impairment on health-related quality of life.  </w:t>
      </w:r>
      <w:proofErr w:type="spellStart"/>
      <w:r w:rsidRPr="001111AC">
        <w:rPr>
          <w:rFonts w:cstheme="minorHAnsi"/>
          <w:b/>
          <w:bCs/>
          <w:sz w:val="20"/>
          <w:szCs w:val="20"/>
          <w:u w:val="single"/>
        </w:rPr>
        <w:t>Ophthalamology</w:t>
      </w:r>
      <w:proofErr w:type="spellEnd"/>
      <w:r w:rsidRPr="001111AC">
        <w:rPr>
          <w:rFonts w:cstheme="minorHAnsi"/>
          <w:b/>
          <w:bCs/>
          <w:sz w:val="20"/>
          <w:szCs w:val="20"/>
        </w:rPr>
        <w:t xml:space="preserve">, </w:t>
      </w:r>
      <w:r w:rsidRPr="001111AC">
        <w:rPr>
          <w:rStyle w:val="ti"/>
          <w:rFonts w:cstheme="minorHAnsi"/>
          <w:b/>
          <w:bCs/>
          <w:sz w:val="20"/>
          <w:szCs w:val="20"/>
        </w:rPr>
        <w:t xml:space="preserve">113, 1846-53. </w:t>
      </w:r>
    </w:p>
    <w:p w14:paraId="46FC21E9" w14:textId="77777777" w:rsidR="00A47A1C" w:rsidRPr="002C3356" w:rsidRDefault="00A47A1C" w:rsidP="003A795F">
      <w:pPr>
        <w:ind w:left="720"/>
        <w:rPr>
          <w:rFonts w:cstheme="minorHAnsi"/>
          <w:sz w:val="20"/>
          <w:szCs w:val="20"/>
        </w:rPr>
      </w:pPr>
    </w:p>
    <w:p w14:paraId="1D7AC857" w14:textId="77777777" w:rsidR="00A47A1C" w:rsidRPr="00466475" w:rsidRDefault="00A47A1C">
      <w:pPr>
        <w:rPr>
          <w:rFonts w:cstheme="minorHAnsi"/>
          <w:sz w:val="20"/>
          <w:szCs w:val="20"/>
        </w:rPr>
      </w:pPr>
    </w:p>
    <w:sectPr w:rsidR="00A47A1C" w:rsidRPr="004664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BE8F" w14:textId="77777777" w:rsidR="00F2179C" w:rsidRDefault="00F2179C" w:rsidP="004E7233">
      <w:pPr>
        <w:spacing w:after="0" w:line="240" w:lineRule="auto"/>
      </w:pPr>
      <w:r>
        <w:separator/>
      </w:r>
    </w:p>
  </w:endnote>
  <w:endnote w:type="continuationSeparator" w:id="0">
    <w:p w14:paraId="0764F420" w14:textId="77777777" w:rsidR="00F2179C" w:rsidRDefault="00F2179C" w:rsidP="004E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01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8B16B" w14:textId="2236851D" w:rsidR="004E7233" w:rsidRDefault="004E7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74754" w14:textId="77777777" w:rsidR="004E7233" w:rsidRDefault="004E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90BC" w14:textId="77777777" w:rsidR="00F2179C" w:rsidRDefault="00F2179C" w:rsidP="004E7233">
      <w:pPr>
        <w:spacing w:after="0" w:line="240" w:lineRule="auto"/>
      </w:pPr>
      <w:r>
        <w:separator/>
      </w:r>
    </w:p>
  </w:footnote>
  <w:footnote w:type="continuationSeparator" w:id="0">
    <w:p w14:paraId="2470D211" w14:textId="77777777" w:rsidR="00F2179C" w:rsidRDefault="00F2179C" w:rsidP="004E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83"/>
    <w:multiLevelType w:val="hybridMultilevel"/>
    <w:tmpl w:val="7AB4DDD6"/>
    <w:lvl w:ilvl="0" w:tplc="F5403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27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0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8A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AE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CF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49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80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506547"/>
    <w:multiLevelType w:val="hybridMultilevel"/>
    <w:tmpl w:val="A028C1EC"/>
    <w:lvl w:ilvl="0" w:tplc="96584A08">
      <w:start w:val="171"/>
      <w:numFmt w:val="decimal"/>
      <w:lvlText w:val="%1."/>
      <w:lvlJc w:val="left"/>
      <w:pPr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67B9"/>
    <w:multiLevelType w:val="hybridMultilevel"/>
    <w:tmpl w:val="D2D8498A"/>
    <w:lvl w:ilvl="0" w:tplc="9E048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A8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E1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00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2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8F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D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43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233393">
    <w:abstractNumId w:val="0"/>
  </w:num>
  <w:num w:numId="2" w16cid:durableId="1800341357">
    <w:abstractNumId w:val="1"/>
  </w:num>
  <w:num w:numId="3" w16cid:durableId="175678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1C"/>
    <w:rsid w:val="00056D71"/>
    <w:rsid w:val="00065234"/>
    <w:rsid w:val="000D08E6"/>
    <w:rsid w:val="001027AB"/>
    <w:rsid w:val="00107409"/>
    <w:rsid w:val="001111AC"/>
    <w:rsid w:val="00186098"/>
    <w:rsid w:val="00202535"/>
    <w:rsid w:val="00273418"/>
    <w:rsid w:val="002C3356"/>
    <w:rsid w:val="002E2C04"/>
    <w:rsid w:val="00315204"/>
    <w:rsid w:val="003A795F"/>
    <w:rsid w:val="0045318F"/>
    <w:rsid w:val="00466475"/>
    <w:rsid w:val="004E2E40"/>
    <w:rsid w:val="004E7233"/>
    <w:rsid w:val="0050118A"/>
    <w:rsid w:val="005E6FEC"/>
    <w:rsid w:val="00606FCB"/>
    <w:rsid w:val="006F39E3"/>
    <w:rsid w:val="00787A34"/>
    <w:rsid w:val="00802B4B"/>
    <w:rsid w:val="008F6972"/>
    <w:rsid w:val="00A07ADD"/>
    <w:rsid w:val="00A13FA7"/>
    <w:rsid w:val="00A359DD"/>
    <w:rsid w:val="00A37BF3"/>
    <w:rsid w:val="00A45DDC"/>
    <w:rsid w:val="00A47A1C"/>
    <w:rsid w:val="00A85BB2"/>
    <w:rsid w:val="00A8625F"/>
    <w:rsid w:val="00B56CCF"/>
    <w:rsid w:val="00BB4467"/>
    <w:rsid w:val="00C85554"/>
    <w:rsid w:val="00D24E9E"/>
    <w:rsid w:val="00D33A66"/>
    <w:rsid w:val="00D37467"/>
    <w:rsid w:val="00E2559F"/>
    <w:rsid w:val="00E55FBD"/>
    <w:rsid w:val="00E61C2B"/>
    <w:rsid w:val="00E84198"/>
    <w:rsid w:val="00F2179C"/>
    <w:rsid w:val="00F82E5E"/>
    <w:rsid w:val="00FA7922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5AE9"/>
  <w15:chartTrackingRefBased/>
  <w15:docId w15:val="{D749C1D3-B28C-402F-9F83-B5367E51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A1C"/>
    <w:pPr>
      <w:ind w:left="720"/>
      <w:contextualSpacing/>
    </w:pPr>
  </w:style>
  <w:style w:type="character" w:customStyle="1" w:styleId="ti">
    <w:name w:val="ti"/>
    <w:basedOn w:val="DefaultParagraphFont"/>
    <w:rsid w:val="00A47A1C"/>
  </w:style>
  <w:style w:type="paragraph" w:styleId="Header">
    <w:name w:val="header"/>
    <w:basedOn w:val="Normal"/>
    <w:link w:val="HeaderChar"/>
    <w:uiPriority w:val="99"/>
    <w:unhideWhenUsed/>
    <w:rsid w:val="004E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233"/>
  </w:style>
  <w:style w:type="paragraph" w:styleId="Footer">
    <w:name w:val="footer"/>
    <w:basedOn w:val="Normal"/>
    <w:link w:val="FooterChar"/>
    <w:uiPriority w:val="99"/>
    <w:unhideWhenUsed/>
    <w:rsid w:val="004E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233"/>
  </w:style>
  <w:style w:type="character" w:styleId="Emphasis">
    <w:name w:val="Emphasis"/>
    <w:basedOn w:val="DefaultParagraphFont"/>
    <w:uiPriority w:val="20"/>
    <w:qFormat/>
    <w:rsid w:val="006F3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4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1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5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Ronald D.</dc:creator>
  <cp:keywords/>
  <dc:description/>
  <cp:lastModifiedBy>Hays, Ronald D.</cp:lastModifiedBy>
  <cp:revision>35</cp:revision>
  <dcterms:created xsi:type="dcterms:W3CDTF">2023-08-27T13:25:00Z</dcterms:created>
  <dcterms:modified xsi:type="dcterms:W3CDTF">2023-09-27T13:25:00Z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3c46561c-52ba-40da-806d-543a7e20c3a2</vt:lpwstr>
  </property>
</Properties>
</file>